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13" w:rsidRDefault="00B62D13" w:rsidP="00720D7A">
      <w:pPr>
        <w:jc w:val="center"/>
        <w:rPr>
          <w:rFonts w:ascii="Arial" w:hAnsi="Arial" w:cs="Arial"/>
          <w:b/>
          <w:sz w:val="32"/>
          <w:szCs w:val="32"/>
        </w:rPr>
      </w:pPr>
      <w:r w:rsidRPr="00720D7A">
        <w:rPr>
          <w:rFonts w:ascii="Arial" w:hAnsi="Arial" w:cs="Arial"/>
          <w:b/>
          <w:sz w:val="32"/>
          <w:szCs w:val="32"/>
        </w:rPr>
        <w:t>Call for Papers – 2013 TSCF Meeting with the Shipbuilders</w:t>
      </w:r>
    </w:p>
    <w:p w:rsidR="00B62D13" w:rsidRDefault="00B62D13" w:rsidP="00720D7A">
      <w:pPr>
        <w:rPr>
          <w:rFonts w:ascii="Arial" w:hAnsi="Arial" w:cs="Arial"/>
          <w:b/>
          <w:sz w:val="24"/>
          <w:szCs w:val="24"/>
          <w:u w:val="single"/>
        </w:rPr>
      </w:pPr>
      <w:r w:rsidRPr="00720D7A">
        <w:rPr>
          <w:rFonts w:ascii="Arial" w:hAnsi="Arial" w:cs="Arial"/>
          <w:b/>
          <w:sz w:val="24"/>
          <w:szCs w:val="24"/>
          <w:u w:val="single"/>
        </w:rPr>
        <w:t>Introduction</w:t>
      </w:r>
    </w:p>
    <w:p w:rsidR="00B62D13" w:rsidRPr="00720D7A" w:rsidRDefault="00B62D13" w:rsidP="00720D7A">
      <w:pPr>
        <w:rPr>
          <w:rFonts w:ascii="Arial" w:hAnsi="Arial" w:cs="Arial"/>
          <w:b/>
          <w:sz w:val="24"/>
          <w:szCs w:val="24"/>
          <w:u w:val="single"/>
        </w:rPr>
      </w:pPr>
      <w:r>
        <w:rPr>
          <w:rFonts w:ascii="Arial" w:hAnsi="Arial" w:cs="Arial"/>
          <w:sz w:val="24"/>
          <w:szCs w:val="24"/>
        </w:rPr>
        <w:t>Since its inception the Tanker Structure Cooperative Forum has held periodic meetings with the shipbuilders to share feedback on ships-in-service.</w:t>
      </w:r>
    </w:p>
    <w:p w:rsidR="00B62D13" w:rsidRDefault="00B62D13" w:rsidP="00720D7A">
      <w:pPr>
        <w:rPr>
          <w:rFonts w:ascii="Arial" w:hAnsi="Arial" w:cs="Arial"/>
          <w:b/>
          <w:sz w:val="24"/>
          <w:szCs w:val="24"/>
          <w:u w:val="single"/>
        </w:rPr>
      </w:pPr>
      <w:r w:rsidRPr="00720D7A">
        <w:rPr>
          <w:rFonts w:ascii="Arial" w:hAnsi="Arial" w:cs="Arial"/>
          <w:b/>
          <w:sz w:val="24"/>
          <w:szCs w:val="24"/>
          <w:u w:val="single"/>
        </w:rPr>
        <w:t>Session 1: TSCF role and Oil Major requirement</w:t>
      </w:r>
      <w:r>
        <w:rPr>
          <w:rFonts w:ascii="Arial" w:hAnsi="Arial" w:cs="Arial"/>
          <w:b/>
          <w:sz w:val="24"/>
          <w:szCs w:val="24"/>
          <w:u w:val="single"/>
        </w:rPr>
        <w:t>s</w:t>
      </w:r>
    </w:p>
    <w:p w:rsidR="00B62D13" w:rsidRPr="00720D7A" w:rsidRDefault="00B62D13" w:rsidP="00720D7A">
      <w:pPr>
        <w:rPr>
          <w:rFonts w:ascii="Arial" w:hAnsi="Arial" w:cs="Arial"/>
          <w:sz w:val="24"/>
          <w:szCs w:val="24"/>
        </w:rPr>
      </w:pPr>
      <w:r>
        <w:rPr>
          <w:rFonts w:ascii="Arial" w:hAnsi="Arial" w:cs="Arial"/>
          <w:sz w:val="24"/>
          <w:szCs w:val="24"/>
        </w:rPr>
        <w:t>The TSCF will give an overview of its role and the publications it has issued.  The oil major members of the Forum will present their expectations for vessels in service.</w:t>
      </w:r>
    </w:p>
    <w:p w:rsidR="00B62D13" w:rsidRPr="008E3DCF" w:rsidRDefault="00B62D13" w:rsidP="00720D7A">
      <w:pPr>
        <w:rPr>
          <w:rFonts w:ascii="Arial" w:hAnsi="Arial" w:cs="Arial"/>
          <w:b/>
          <w:sz w:val="24"/>
          <w:szCs w:val="24"/>
          <w:u w:val="single"/>
          <w:lang w:val="pt-BR" w:eastAsia="zh-CN"/>
        </w:rPr>
      </w:pPr>
      <w:r w:rsidRPr="008E3DCF">
        <w:rPr>
          <w:rFonts w:ascii="Arial" w:hAnsi="Arial" w:cs="Arial"/>
          <w:b/>
          <w:sz w:val="24"/>
          <w:szCs w:val="24"/>
          <w:u w:val="single"/>
          <w:lang w:val="pt-BR"/>
        </w:rPr>
        <w:t>Session 2: IMO GBS/IACS CSR</w:t>
      </w:r>
      <w:r w:rsidRPr="008E3DCF">
        <w:rPr>
          <w:rFonts w:ascii="Arial" w:hAnsi="Arial" w:cs="Arial"/>
          <w:b/>
          <w:sz w:val="24"/>
          <w:szCs w:val="24"/>
          <w:u w:val="single"/>
          <w:lang w:val="pt-BR" w:eastAsia="zh-CN"/>
        </w:rPr>
        <w:t>-H</w:t>
      </w:r>
    </w:p>
    <w:p w:rsidR="00B62D13" w:rsidRDefault="00B62D13" w:rsidP="00720D7A">
      <w:pPr>
        <w:rPr>
          <w:rFonts w:ascii="Arial" w:hAnsi="Arial" w:cs="Arial"/>
          <w:sz w:val="24"/>
          <w:szCs w:val="24"/>
        </w:rPr>
      </w:pPr>
      <w:r>
        <w:rPr>
          <w:rFonts w:ascii="Arial" w:hAnsi="Arial" w:cs="Arial"/>
          <w:sz w:val="24"/>
          <w:szCs w:val="24"/>
        </w:rPr>
        <w:t xml:space="preserve">The classification societies of the Forum will briefly describe the impact of the new IMO Goal Based Standards on classification rules and present an overview of the Harmonized CSR for oil tankers.  Attendees are invited to present papers on the impact of the </w:t>
      </w:r>
      <w:r>
        <w:rPr>
          <w:rFonts w:ascii="Arial" w:hAnsi="Arial" w:cs="Arial"/>
          <w:sz w:val="24"/>
          <w:szCs w:val="24"/>
          <w:lang w:eastAsia="zh-CN"/>
        </w:rPr>
        <w:t xml:space="preserve">Harmonized </w:t>
      </w:r>
      <w:r>
        <w:rPr>
          <w:rFonts w:ascii="Arial" w:hAnsi="Arial" w:cs="Arial"/>
          <w:sz w:val="24"/>
          <w:szCs w:val="24"/>
        </w:rPr>
        <w:t>CSR on tanker structural design (by type, e.g. VLCC, Aframax, product tankers) including effect on lightship weight, use of high tensile steels, and changes in structural details.</w:t>
      </w:r>
    </w:p>
    <w:p w:rsidR="00B62D13" w:rsidRDefault="00B62D13" w:rsidP="00720D7A">
      <w:pPr>
        <w:rPr>
          <w:rFonts w:ascii="Arial" w:hAnsi="Arial" w:cs="Arial"/>
          <w:b/>
          <w:sz w:val="24"/>
          <w:szCs w:val="24"/>
          <w:u w:val="single"/>
        </w:rPr>
      </w:pPr>
      <w:r w:rsidRPr="00720D7A">
        <w:rPr>
          <w:rFonts w:ascii="Arial" w:hAnsi="Arial" w:cs="Arial"/>
          <w:b/>
          <w:sz w:val="24"/>
          <w:szCs w:val="24"/>
          <w:u w:val="single"/>
        </w:rPr>
        <w:t>Session 3: Fatigue</w:t>
      </w:r>
    </w:p>
    <w:p w:rsidR="00B62D13" w:rsidRPr="004C07E2" w:rsidRDefault="00B62D13" w:rsidP="004C07E2">
      <w:pPr>
        <w:rPr>
          <w:rFonts w:ascii="Arial" w:hAnsi="Arial" w:cs="Arial"/>
          <w:sz w:val="24"/>
          <w:szCs w:val="24"/>
        </w:rPr>
      </w:pPr>
      <w:r>
        <w:rPr>
          <w:rFonts w:ascii="Arial" w:hAnsi="Arial" w:cs="Arial"/>
          <w:sz w:val="24"/>
          <w:szCs w:val="24"/>
        </w:rPr>
        <w:t>The TSCF will present its new information paper on Fatigue.  Attendees are invited to present papers on their experience with design for 25 year fatigue life, impact on  c</w:t>
      </w:r>
      <w:r w:rsidRPr="004C07E2">
        <w:rPr>
          <w:rFonts w:ascii="Arial" w:hAnsi="Arial" w:cs="Arial"/>
          <w:sz w:val="24"/>
          <w:szCs w:val="24"/>
        </w:rPr>
        <w:t>onstruction standard</w:t>
      </w:r>
      <w:r>
        <w:rPr>
          <w:rFonts w:ascii="Arial" w:hAnsi="Arial" w:cs="Arial"/>
          <w:sz w:val="24"/>
          <w:szCs w:val="24"/>
        </w:rPr>
        <w:t>s,</w:t>
      </w:r>
      <w:r w:rsidRPr="004C07E2">
        <w:rPr>
          <w:rFonts w:ascii="Arial" w:hAnsi="Arial" w:cs="Arial"/>
          <w:sz w:val="24"/>
          <w:szCs w:val="24"/>
        </w:rPr>
        <w:t xml:space="preserve"> and </w:t>
      </w:r>
      <w:r>
        <w:rPr>
          <w:rFonts w:ascii="Arial" w:hAnsi="Arial" w:cs="Arial"/>
          <w:sz w:val="24"/>
          <w:szCs w:val="24"/>
        </w:rPr>
        <w:t xml:space="preserve">any </w:t>
      </w:r>
      <w:r w:rsidRPr="004C07E2">
        <w:rPr>
          <w:rFonts w:ascii="Arial" w:hAnsi="Arial" w:cs="Arial"/>
          <w:sz w:val="24"/>
          <w:szCs w:val="24"/>
        </w:rPr>
        <w:t xml:space="preserve">improvement </w:t>
      </w:r>
      <w:r>
        <w:rPr>
          <w:rFonts w:ascii="Arial" w:hAnsi="Arial" w:cs="Arial"/>
          <w:sz w:val="24"/>
          <w:szCs w:val="24"/>
        </w:rPr>
        <w:t>ideas for fatigue life of shipyard designs. Fatigue cracking in way of outfitting continues to be an in-service problem for owners so papers focusing on improved outfitting connections to main deck and other locations are sought.</w:t>
      </w:r>
    </w:p>
    <w:p w:rsidR="00B62D13" w:rsidRDefault="00B62D13" w:rsidP="00720D7A">
      <w:pPr>
        <w:rPr>
          <w:rFonts w:ascii="Arial" w:hAnsi="Arial" w:cs="Arial"/>
          <w:b/>
          <w:sz w:val="24"/>
          <w:szCs w:val="24"/>
          <w:u w:val="single"/>
        </w:rPr>
      </w:pPr>
      <w:r w:rsidRPr="00720D7A">
        <w:rPr>
          <w:rFonts w:ascii="Arial" w:hAnsi="Arial" w:cs="Arial"/>
          <w:b/>
          <w:sz w:val="24"/>
          <w:szCs w:val="24"/>
          <w:u w:val="single"/>
        </w:rPr>
        <w:t>Session 4: Coatings and Corrosion control</w:t>
      </w:r>
    </w:p>
    <w:p w:rsidR="00B62D13" w:rsidRDefault="00B62D13" w:rsidP="00720D7A">
      <w:pPr>
        <w:rPr>
          <w:rFonts w:ascii="Arial" w:hAnsi="Arial" w:cs="Arial"/>
          <w:sz w:val="24"/>
          <w:szCs w:val="24"/>
        </w:rPr>
      </w:pPr>
      <w:r>
        <w:rPr>
          <w:rFonts w:ascii="Arial" w:hAnsi="Arial" w:cs="Arial"/>
          <w:sz w:val="24"/>
          <w:szCs w:val="24"/>
        </w:rPr>
        <w:t>The TSCF independent operators will present their experiences with PSPC, and experience with corrosion and wastage issues of ships-in-service.  Attendees are invited to present papers on problems encountered in applying PSPC regulations and solutions for improved application.  Experience with the new IMO regulations on coating of cargo tank deckheads and bottoms are also desired.  Papers on other methods of corrosion control such as corrosion resistant steel are also invited.</w:t>
      </w:r>
    </w:p>
    <w:p w:rsidR="00B62D13" w:rsidRDefault="00B62D13" w:rsidP="00720D7A">
      <w:pPr>
        <w:rPr>
          <w:rFonts w:ascii="Arial" w:hAnsi="Arial" w:cs="Arial"/>
          <w:b/>
          <w:sz w:val="24"/>
          <w:szCs w:val="24"/>
          <w:u w:val="single"/>
        </w:rPr>
      </w:pPr>
      <w:r w:rsidRPr="00720D7A">
        <w:rPr>
          <w:rFonts w:ascii="Arial" w:hAnsi="Arial" w:cs="Arial"/>
          <w:b/>
          <w:sz w:val="24"/>
          <w:szCs w:val="24"/>
          <w:u w:val="single"/>
        </w:rPr>
        <w:t>Session 5: Other experience/New design</w:t>
      </w:r>
    </w:p>
    <w:p w:rsidR="00B62D13" w:rsidRDefault="00B62D13" w:rsidP="00524478">
      <w:pPr>
        <w:rPr>
          <w:rFonts w:ascii="Arial" w:hAnsi="Arial" w:cs="Arial"/>
          <w:sz w:val="24"/>
          <w:szCs w:val="24"/>
        </w:rPr>
      </w:pPr>
      <w:r>
        <w:rPr>
          <w:rFonts w:ascii="Arial" w:hAnsi="Arial" w:cs="Arial"/>
          <w:sz w:val="24"/>
          <w:szCs w:val="24"/>
        </w:rPr>
        <w:t>The TSCF will present</w:t>
      </w:r>
      <w:r>
        <w:rPr>
          <w:rFonts w:ascii="Arial" w:hAnsi="Arial" w:cs="Arial"/>
          <w:sz w:val="24"/>
          <w:szCs w:val="24"/>
          <w:lang w:eastAsia="zh-CN"/>
        </w:rPr>
        <w:t xml:space="preserve"> one paper </w:t>
      </w:r>
      <w:r>
        <w:rPr>
          <w:rFonts w:ascii="Arial" w:hAnsi="Arial" w:cs="Arial"/>
          <w:sz w:val="24"/>
          <w:szCs w:val="24"/>
        </w:rPr>
        <w:t xml:space="preserve"> on</w:t>
      </w:r>
      <w:r>
        <w:rPr>
          <w:rFonts w:ascii="Arial" w:hAnsi="Arial" w:cs="Arial"/>
          <w:sz w:val="24"/>
          <w:szCs w:val="24"/>
          <w:lang w:eastAsia="zh-CN"/>
        </w:rPr>
        <w:t xml:space="preserve"> usage of HTS in tankers</w:t>
      </w:r>
      <w:r>
        <w:rPr>
          <w:rFonts w:ascii="Arial" w:hAnsi="Arial" w:cs="Arial"/>
          <w:sz w:val="24"/>
          <w:szCs w:val="24"/>
        </w:rPr>
        <w:t xml:space="preserve">.  </w:t>
      </w:r>
    </w:p>
    <w:p w:rsidR="00B62D13" w:rsidRPr="00524478" w:rsidRDefault="00B62D13" w:rsidP="00524478">
      <w:pPr>
        <w:rPr>
          <w:rFonts w:ascii="Arial" w:hAnsi="Arial" w:cs="Arial"/>
          <w:sz w:val="24"/>
          <w:szCs w:val="24"/>
        </w:rPr>
      </w:pPr>
      <w:r w:rsidRPr="00524478">
        <w:rPr>
          <w:rFonts w:ascii="Arial" w:hAnsi="Arial" w:cs="Arial"/>
          <w:sz w:val="24"/>
          <w:szCs w:val="24"/>
        </w:rPr>
        <w:t xml:space="preserve">Shipyards and shipyard-sub-supplier are </w:t>
      </w:r>
      <w:r>
        <w:rPr>
          <w:rFonts w:ascii="Arial" w:hAnsi="Arial" w:cs="Arial"/>
          <w:sz w:val="24"/>
          <w:szCs w:val="24"/>
        </w:rPr>
        <w:t>invit</w:t>
      </w:r>
      <w:r w:rsidRPr="00524478">
        <w:rPr>
          <w:rFonts w:ascii="Arial" w:hAnsi="Arial" w:cs="Arial"/>
          <w:sz w:val="24"/>
          <w:szCs w:val="24"/>
        </w:rPr>
        <w:t>ed to submit papers describing interesting and state of the art core production methods including best practice experiences</w:t>
      </w:r>
      <w:r>
        <w:rPr>
          <w:rFonts w:ascii="Arial" w:hAnsi="Arial" w:cs="Arial"/>
          <w:sz w:val="24"/>
          <w:szCs w:val="24"/>
        </w:rPr>
        <w:t>.  Examples of topics that might be covered include</w:t>
      </w:r>
      <w:r w:rsidRPr="00524478">
        <w:rPr>
          <w:rFonts w:ascii="Arial" w:hAnsi="Arial" w:cs="Arial"/>
          <w:sz w:val="24"/>
          <w:szCs w:val="24"/>
        </w:rPr>
        <w:t xml:space="preserve"> the following:</w:t>
      </w:r>
    </w:p>
    <w:p w:rsidR="00B62D13"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Pr>
          <w:rFonts w:ascii="Arial" w:hAnsi="Arial" w:cs="Arial"/>
          <w:sz w:val="24"/>
          <w:szCs w:val="24"/>
          <w:lang w:eastAsia="zh-CN"/>
        </w:rPr>
        <w:t>P</w:t>
      </w:r>
      <w:r w:rsidRPr="00867849">
        <w:rPr>
          <w:rFonts w:ascii="Arial" w:hAnsi="Arial" w:cs="Arial"/>
          <w:sz w:val="24"/>
          <w:szCs w:val="24"/>
        </w:rPr>
        <w:t>late and profile stocking</w:t>
      </w:r>
    </w:p>
    <w:p w:rsidR="00B62D13" w:rsidRPr="00867849"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Pr>
          <w:rFonts w:ascii="Arial" w:hAnsi="Arial" w:cs="Arial"/>
          <w:sz w:val="24"/>
          <w:szCs w:val="24"/>
          <w:lang w:eastAsia="zh-CN"/>
        </w:rPr>
        <w:t>M</w:t>
      </w:r>
      <w:r w:rsidRPr="00867849">
        <w:rPr>
          <w:rFonts w:ascii="Arial" w:hAnsi="Arial" w:cs="Arial"/>
          <w:sz w:val="24"/>
          <w:szCs w:val="24"/>
        </w:rPr>
        <w:t>aterial traceability of steel material</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Pr>
          <w:rFonts w:ascii="Arial" w:hAnsi="Arial" w:cs="Arial"/>
          <w:sz w:val="24"/>
          <w:szCs w:val="24"/>
          <w:lang w:eastAsia="zh-CN"/>
        </w:rPr>
        <w:t>T</w:t>
      </w:r>
      <w:r w:rsidRPr="00524478">
        <w:rPr>
          <w:rFonts w:ascii="Arial" w:hAnsi="Arial" w:cs="Arial"/>
          <w:sz w:val="24"/>
          <w:szCs w:val="24"/>
        </w:rPr>
        <w:t>ransportation techniques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Pr>
          <w:rFonts w:ascii="Arial" w:hAnsi="Arial" w:cs="Arial"/>
          <w:sz w:val="24"/>
          <w:szCs w:val="24"/>
          <w:lang w:eastAsia="zh-CN"/>
        </w:rPr>
        <w:t>D</w:t>
      </w:r>
      <w:r w:rsidRPr="00524478">
        <w:rPr>
          <w:rFonts w:ascii="Arial" w:hAnsi="Arial" w:cs="Arial"/>
          <w:sz w:val="24"/>
          <w:szCs w:val="24"/>
        </w:rPr>
        <w:t xml:space="preserve">rying and primer application </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Steel cutting techniques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Parts identification (material traceability)</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Edge preparation (rounding of edges)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Shaping and Bending techniques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Welding techniques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Preheating and post weld heat treatments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Straightening</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Sandblasting, cleaning and paint application techniques</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 xml:space="preserve">Paint repair </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Corrosion protection during outfitting of afloat vessel</w:t>
      </w:r>
    </w:p>
    <w:p w:rsidR="00B62D13" w:rsidRPr="00524478" w:rsidRDefault="00B62D13" w:rsidP="009C2FE2">
      <w:pPr>
        <w:numPr>
          <w:ilvl w:val="0"/>
          <w:numId w:val="1"/>
        </w:numPr>
        <w:tabs>
          <w:tab w:val="clear" w:pos="1770"/>
          <w:tab w:val="num" w:pos="900"/>
        </w:tabs>
        <w:spacing w:after="0" w:line="240" w:lineRule="auto"/>
        <w:ind w:hanging="1230"/>
        <w:rPr>
          <w:rFonts w:ascii="Arial" w:hAnsi="Arial" w:cs="Arial"/>
          <w:sz w:val="24"/>
          <w:szCs w:val="24"/>
        </w:rPr>
      </w:pPr>
      <w:r w:rsidRPr="00524478">
        <w:rPr>
          <w:rFonts w:ascii="Arial" w:hAnsi="Arial" w:cs="Arial"/>
          <w:sz w:val="24"/>
          <w:szCs w:val="24"/>
        </w:rPr>
        <w:t>Mooring and towing of afloat vessel during outfitting</w:t>
      </w:r>
    </w:p>
    <w:p w:rsidR="00B62D13" w:rsidRPr="00524478" w:rsidRDefault="00B62D13" w:rsidP="0072546E">
      <w:pPr>
        <w:spacing w:before="200"/>
        <w:rPr>
          <w:rFonts w:ascii="Arial" w:hAnsi="Arial" w:cs="Arial"/>
          <w:sz w:val="24"/>
          <w:szCs w:val="24"/>
        </w:rPr>
      </w:pPr>
      <w:r>
        <w:rPr>
          <w:rFonts w:ascii="Arial" w:hAnsi="Arial" w:cs="Arial"/>
          <w:sz w:val="24"/>
          <w:szCs w:val="24"/>
        </w:rPr>
        <w:t xml:space="preserve">Factors that </w:t>
      </w:r>
      <w:r w:rsidRPr="00524478">
        <w:rPr>
          <w:rFonts w:ascii="Arial" w:hAnsi="Arial" w:cs="Arial"/>
          <w:sz w:val="24"/>
          <w:szCs w:val="24"/>
        </w:rPr>
        <w:t>constitute production friendly specification</w:t>
      </w:r>
      <w:r>
        <w:rPr>
          <w:rFonts w:ascii="Arial" w:hAnsi="Arial" w:cs="Arial"/>
          <w:sz w:val="24"/>
          <w:szCs w:val="24"/>
        </w:rPr>
        <w:t>s</w:t>
      </w:r>
      <w:r w:rsidRPr="00524478">
        <w:rPr>
          <w:rFonts w:ascii="Arial" w:hAnsi="Arial" w:cs="Arial"/>
          <w:sz w:val="24"/>
          <w:szCs w:val="24"/>
        </w:rPr>
        <w:t xml:space="preserve"> within the scope of existing rules and regulations</w:t>
      </w:r>
      <w:r>
        <w:rPr>
          <w:rFonts w:ascii="Arial" w:hAnsi="Arial" w:cs="Arial"/>
          <w:sz w:val="24"/>
          <w:szCs w:val="24"/>
        </w:rPr>
        <w:t xml:space="preserve"> are also of interest.  Suggestions for improvements </w:t>
      </w:r>
      <w:r w:rsidRPr="00524478">
        <w:rPr>
          <w:rFonts w:ascii="Arial" w:hAnsi="Arial" w:cs="Arial"/>
          <w:sz w:val="24"/>
          <w:szCs w:val="24"/>
        </w:rPr>
        <w:t>in owner</w:t>
      </w:r>
      <w:r>
        <w:rPr>
          <w:rFonts w:ascii="Arial" w:hAnsi="Arial" w:cs="Arial"/>
          <w:sz w:val="24"/>
          <w:szCs w:val="24"/>
        </w:rPr>
        <w:t>’</w:t>
      </w:r>
      <w:r w:rsidRPr="00524478">
        <w:rPr>
          <w:rFonts w:ascii="Arial" w:hAnsi="Arial" w:cs="Arial"/>
          <w:sz w:val="24"/>
          <w:szCs w:val="24"/>
        </w:rPr>
        <w:t xml:space="preserve">s </w:t>
      </w:r>
      <w:r>
        <w:rPr>
          <w:rFonts w:ascii="Arial" w:hAnsi="Arial" w:cs="Arial"/>
          <w:sz w:val="24"/>
          <w:szCs w:val="24"/>
        </w:rPr>
        <w:t xml:space="preserve">design </w:t>
      </w:r>
      <w:bookmarkStart w:id="0" w:name="_GoBack"/>
      <w:bookmarkEnd w:id="0"/>
      <w:r>
        <w:rPr>
          <w:rFonts w:ascii="Arial" w:hAnsi="Arial" w:cs="Arial"/>
          <w:sz w:val="24"/>
          <w:szCs w:val="24"/>
        </w:rPr>
        <w:t>requirements that are considered onerous</w:t>
      </w:r>
      <w:r>
        <w:rPr>
          <w:rFonts w:ascii="Arial" w:hAnsi="Arial" w:cs="Arial"/>
          <w:sz w:val="24"/>
          <w:szCs w:val="24"/>
          <w:lang w:eastAsia="zh-CN"/>
        </w:rPr>
        <w:t xml:space="preserve"> </w:t>
      </w:r>
      <w:r w:rsidRPr="00524478">
        <w:rPr>
          <w:rFonts w:ascii="Arial" w:hAnsi="Arial" w:cs="Arial"/>
          <w:sz w:val="24"/>
          <w:szCs w:val="24"/>
        </w:rPr>
        <w:t>vis a vis production</w:t>
      </w:r>
      <w:r>
        <w:rPr>
          <w:rFonts w:ascii="Arial" w:hAnsi="Arial" w:cs="Arial"/>
          <w:sz w:val="24"/>
          <w:szCs w:val="24"/>
        </w:rPr>
        <w:t xml:space="preserve"> are also welcome.</w:t>
      </w:r>
    </w:p>
    <w:p w:rsidR="00B62D13" w:rsidRPr="00524478" w:rsidRDefault="00B62D13" w:rsidP="00B832F5">
      <w:pPr>
        <w:rPr>
          <w:rFonts w:ascii="Arial" w:hAnsi="Arial" w:cs="Arial"/>
          <w:sz w:val="24"/>
          <w:szCs w:val="24"/>
        </w:rPr>
      </w:pPr>
      <w:r>
        <w:rPr>
          <w:rFonts w:ascii="Arial" w:hAnsi="Arial" w:cs="Arial"/>
          <w:sz w:val="24"/>
          <w:szCs w:val="24"/>
        </w:rPr>
        <w:t xml:space="preserve">Other papers sharing best practices on the </w:t>
      </w:r>
      <w:r w:rsidRPr="00524478">
        <w:rPr>
          <w:rFonts w:ascii="Arial" w:hAnsi="Arial" w:cs="Arial"/>
          <w:sz w:val="24"/>
          <w:szCs w:val="24"/>
        </w:rPr>
        <w:t>state of the art in structur</w:t>
      </w:r>
      <w:r>
        <w:rPr>
          <w:rFonts w:ascii="Arial" w:hAnsi="Arial" w:cs="Arial"/>
          <w:sz w:val="24"/>
          <w:szCs w:val="24"/>
        </w:rPr>
        <w:t>al shipbuilding methods, and fabrication technologies are wel</w:t>
      </w:r>
      <w:r w:rsidRPr="00524478">
        <w:rPr>
          <w:rFonts w:ascii="Arial" w:hAnsi="Arial" w:cs="Arial"/>
          <w:sz w:val="24"/>
          <w:szCs w:val="24"/>
        </w:rPr>
        <w:t>come</w:t>
      </w:r>
      <w:r>
        <w:rPr>
          <w:rFonts w:ascii="Arial" w:hAnsi="Arial" w:cs="Arial"/>
          <w:sz w:val="24"/>
          <w:szCs w:val="24"/>
        </w:rPr>
        <w:t xml:space="preserve"> as well as n</w:t>
      </w:r>
      <w:r w:rsidRPr="00524478">
        <w:rPr>
          <w:rFonts w:ascii="Arial" w:hAnsi="Arial" w:cs="Arial"/>
          <w:sz w:val="24"/>
          <w:szCs w:val="24"/>
        </w:rPr>
        <w:t>ovel design fea</w:t>
      </w:r>
      <w:r>
        <w:rPr>
          <w:rFonts w:ascii="Arial" w:hAnsi="Arial" w:cs="Arial"/>
          <w:sz w:val="24"/>
          <w:szCs w:val="24"/>
        </w:rPr>
        <w:t xml:space="preserve">tures to address such </w:t>
      </w:r>
      <w:r>
        <w:rPr>
          <w:rFonts w:ascii="Arial" w:hAnsi="Arial" w:cs="Arial"/>
          <w:sz w:val="24"/>
          <w:szCs w:val="24"/>
          <w:lang w:eastAsia="zh-CN"/>
        </w:rPr>
        <w:t xml:space="preserve">issues </w:t>
      </w:r>
      <w:r>
        <w:rPr>
          <w:rFonts w:ascii="Arial" w:hAnsi="Arial" w:cs="Arial"/>
          <w:sz w:val="24"/>
          <w:szCs w:val="24"/>
        </w:rPr>
        <w:t>as EEDI</w:t>
      </w:r>
      <w:r>
        <w:rPr>
          <w:rFonts w:ascii="Arial" w:hAnsi="Arial" w:cs="Arial"/>
          <w:sz w:val="24"/>
          <w:szCs w:val="24"/>
          <w:lang w:eastAsia="zh-CN"/>
        </w:rPr>
        <w:t xml:space="preserve">, Anti-piracy </w:t>
      </w:r>
      <w:r>
        <w:rPr>
          <w:rFonts w:ascii="Arial" w:hAnsi="Arial" w:cs="Arial"/>
          <w:sz w:val="24"/>
          <w:szCs w:val="24"/>
        </w:rPr>
        <w:t>and BWT.</w:t>
      </w:r>
    </w:p>
    <w:p w:rsidR="00B62D13" w:rsidRPr="005E7BC2" w:rsidRDefault="00B62D13" w:rsidP="00720D7A">
      <w:pPr>
        <w:rPr>
          <w:rFonts w:ascii="Arial" w:hAnsi="Arial" w:cs="Arial"/>
          <w:b/>
          <w:sz w:val="24"/>
          <w:szCs w:val="24"/>
          <w:u w:val="single"/>
        </w:rPr>
      </w:pPr>
      <w:r w:rsidRPr="005E7BC2">
        <w:rPr>
          <w:rFonts w:ascii="Arial" w:hAnsi="Arial" w:cs="Arial"/>
          <w:b/>
          <w:sz w:val="24"/>
          <w:szCs w:val="24"/>
          <w:u w:val="single"/>
        </w:rPr>
        <w:t>Schedule of Papers Collection</w:t>
      </w:r>
    </w:p>
    <w:p w:rsidR="00B62D13" w:rsidRDefault="00B62D13" w:rsidP="00720D7A">
      <w:pPr>
        <w:rPr>
          <w:rFonts w:ascii="Arial" w:hAnsi="Arial" w:cs="Arial"/>
          <w:sz w:val="24"/>
          <w:szCs w:val="24"/>
          <w:lang w:eastAsia="zh-CN"/>
        </w:rPr>
      </w:pPr>
      <w:r>
        <w:rPr>
          <w:rFonts w:ascii="Arial" w:hAnsi="Arial" w:cs="Arial"/>
          <w:sz w:val="24"/>
          <w:szCs w:val="24"/>
          <w:lang w:eastAsia="zh-CN"/>
        </w:rPr>
        <w:t>Paper title and paper abstract to be submitted before the 15</w:t>
      </w:r>
      <w:r w:rsidRPr="005E7BC2">
        <w:rPr>
          <w:rFonts w:ascii="Arial" w:hAnsi="Arial" w:cs="Arial"/>
          <w:sz w:val="24"/>
          <w:szCs w:val="24"/>
          <w:vertAlign w:val="superscript"/>
          <w:lang w:eastAsia="zh-CN"/>
        </w:rPr>
        <w:t>th</w:t>
      </w:r>
      <w:r>
        <w:rPr>
          <w:rFonts w:ascii="Arial" w:hAnsi="Arial" w:cs="Arial"/>
          <w:sz w:val="24"/>
          <w:szCs w:val="24"/>
          <w:lang w:eastAsia="zh-CN"/>
        </w:rPr>
        <w:t>, Nov., 2012</w:t>
      </w:r>
    </w:p>
    <w:p w:rsidR="00B62D13" w:rsidRDefault="00B62D13" w:rsidP="00720D7A">
      <w:pPr>
        <w:rPr>
          <w:rFonts w:ascii="Arial" w:hAnsi="Arial" w:cs="Arial"/>
          <w:sz w:val="24"/>
          <w:szCs w:val="24"/>
          <w:lang w:eastAsia="zh-CN"/>
        </w:rPr>
      </w:pPr>
      <w:r>
        <w:rPr>
          <w:rFonts w:ascii="Arial" w:hAnsi="Arial" w:cs="Arial"/>
          <w:sz w:val="24"/>
          <w:szCs w:val="24"/>
          <w:lang w:eastAsia="zh-CN"/>
        </w:rPr>
        <w:t>Preliminary full paper to be submitted before the 15</w:t>
      </w:r>
      <w:r w:rsidRPr="005E7BC2">
        <w:rPr>
          <w:rFonts w:ascii="Arial" w:hAnsi="Arial" w:cs="Arial"/>
          <w:sz w:val="24"/>
          <w:szCs w:val="24"/>
          <w:vertAlign w:val="superscript"/>
          <w:lang w:eastAsia="zh-CN"/>
        </w:rPr>
        <w:t>th</w:t>
      </w:r>
      <w:r>
        <w:rPr>
          <w:rFonts w:ascii="Arial" w:hAnsi="Arial" w:cs="Arial"/>
          <w:sz w:val="24"/>
          <w:szCs w:val="24"/>
          <w:lang w:eastAsia="zh-CN"/>
        </w:rPr>
        <w:t>, Mar., 2013</w:t>
      </w:r>
    </w:p>
    <w:p w:rsidR="00B62D13" w:rsidRDefault="00B62D13" w:rsidP="00720D7A">
      <w:pPr>
        <w:rPr>
          <w:rFonts w:ascii="Arial" w:hAnsi="Arial" w:cs="Arial"/>
          <w:sz w:val="24"/>
          <w:szCs w:val="24"/>
          <w:lang w:eastAsia="zh-CN"/>
        </w:rPr>
      </w:pPr>
      <w:r>
        <w:rPr>
          <w:rFonts w:ascii="Arial" w:hAnsi="Arial" w:cs="Arial"/>
          <w:sz w:val="24"/>
          <w:szCs w:val="24"/>
          <w:lang w:eastAsia="zh-CN"/>
        </w:rPr>
        <w:t>Improved full paper based on TSCF’s comments after first review to be submitted before  the 15</w:t>
      </w:r>
      <w:r w:rsidRPr="005E7BC2">
        <w:rPr>
          <w:rFonts w:ascii="Arial" w:hAnsi="Arial" w:cs="Arial"/>
          <w:sz w:val="24"/>
          <w:szCs w:val="24"/>
          <w:vertAlign w:val="superscript"/>
          <w:lang w:eastAsia="zh-CN"/>
        </w:rPr>
        <w:t>th</w:t>
      </w:r>
      <w:r>
        <w:rPr>
          <w:rFonts w:ascii="Arial" w:hAnsi="Arial" w:cs="Arial"/>
          <w:sz w:val="24"/>
          <w:szCs w:val="24"/>
          <w:lang w:eastAsia="zh-CN"/>
        </w:rPr>
        <w:t>, Jul., 2013</w:t>
      </w:r>
    </w:p>
    <w:p w:rsidR="00B62D13" w:rsidRDefault="00B62D13" w:rsidP="00720D7A">
      <w:pPr>
        <w:rPr>
          <w:rFonts w:ascii="Arial" w:hAnsi="Arial" w:cs="Arial"/>
          <w:sz w:val="24"/>
          <w:szCs w:val="24"/>
          <w:lang w:eastAsia="zh-CN"/>
        </w:rPr>
      </w:pPr>
      <w:r>
        <w:rPr>
          <w:rFonts w:ascii="Arial" w:hAnsi="Arial" w:cs="Arial"/>
          <w:sz w:val="24"/>
          <w:szCs w:val="24"/>
          <w:lang w:eastAsia="zh-CN"/>
        </w:rPr>
        <w:t>Final full paper based on TSCF’s comments after second review to be submitted before the 15</w:t>
      </w:r>
      <w:r w:rsidRPr="005E7BC2">
        <w:rPr>
          <w:rFonts w:ascii="Arial" w:hAnsi="Arial" w:cs="Arial"/>
          <w:sz w:val="24"/>
          <w:szCs w:val="24"/>
          <w:vertAlign w:val="superscript"/>
          <w:lang w:eastAsia="zh-CN"/>
        </w:rPr>
        <w:t>th</w:t>
      </w:r>
      <w:r>
        <w:rPr>
          <w:rFonts w:ascii="Arial" w:hAnsi="Arial" w:cs="Arial"/>
          <w:sz w:val="24"/>
          <w:szCs w:val="24"/>
          <w:lang w:eastAsia="zh-CN"/>
        </w:rPr>
        <w:t>, Sept., 2013</w:t>
      </w:r>
    </w:p>
    <w:p w:rsidR="00B62D13" w:rsidRPr="0072546E" w:rsidRDefault="00B62D13" w:rsidP="00720D7A">
      <w:pPr>
        <w:rPr>
          <w:rFonts w:ascii="Arial" w:hAnsi="Arial" w:cs="Arial"/>
          <w:b/>
          <w:sz w:val="24"/>
          <w:szCs w:val="24"/>
          <w:u w:val="single"/>
        </w:rPr>
      </w:pPr>
      <w:r w:rsidRPr="0072546E">
        <w:rPr>
          <w:rFonts w:ascii="Arial" w:hAnsi="Arial" w:cs="Arial"/>
          <w:b/>
          <w:sz w:val="24"/>
          <w:szCs w:val="24"/>
          <w:u w:val="single"/>
        </w:rPr>
        <w:t>Paper Format</w:t>
      </w:r>
    </w:p>
    <w:p w:rsidR="00B62D13" w:rsidRDefault="00B62D13" w:rsidP="00720D7A">
      <w:pPr>
        <w:rPr>
          <w:rFonts w:ascii="Arial" w:hAnsi="Arial" w:cs="Arial"/>
          <w:sz w:val="24"/>
          <w:szCs w:val="24"/>
          <w:lang w:eastAsia="zh-CN"/>
        </w:rPr>
      </w:pPr>
      <w:r>
        <w:rPr>
          <w:rFonts w:ascii="Arial" w:hAnsi="Arial" w:cs="Arial"/>
          <w:sz w:val="24"/>
          <w:szCs w:val="24"/>
          <w:lang w:eastAsia="zh-CN"/>
        </w:rPr>
        <w:t xml:space="preserve">All of papers to be presented in TSCF 2013 SBM should be in accord with the paper format as </w:t>
      </w:r>
      <w:r w:rsidRPr="0072546E">
        <w:rPr>
          <w:rFonts w:ascii="Arial" w:hAnsi="Arial" w:cs="Arial"/>
          <w:b/>
          <w:sz w:val="24"/>
          <w:szCs w:val="24"/>
          <w:lang w:eastAsia="zh-CN"/>
        </w:rPr>
        <w:t>Appendix 1</w:t>
      </w:r>
      <w:r>
        <w:rPr>
          <w:rFonts w:ascii="Arial" w:hAnsi="Arial" w:cs="Arial"/>
          <w:b/>
          <w:sz w:val="24"/>
          <w:szCs w:val="24"/>
          <w:lang w:eastAsia="zh-CN"/>
        </w:rPr>
        <w:t xml:space="preserve"> (Paper Format)</w:t>
      </w:r>
      <w:r>
        <w:rPr>
          <w:rFonts w:ascii="Arial" w:hAnsi="Arial" w:cs="Arial"/>
          <w:sz w:val="24"/>
          <w:szCs w:val="24"/>
          <w:lang w:eastAsia="zh-CN"/>
        </w:rPr>
        <w:t>.</w:t>
      </w:r>
    </w:p>
    <w:p w:rsidR="00B62D13" w:rsidRPr="0072546E" w:rsidRDefault="00B62D13" w:rsidP="00720D7A">
      <w:pPr>
        <w:rPr>
          <w:rFonts w:ascii="Arial" w:hAnsi="Arial" w:cs="Arial"/>
          <w:b/>
          <w:sz w:val="24"/>
          <w:szCs w:val="24"/>
          <w:lang w:eastAsia="zh-CN"/>
        </w:rPr>
      </w:pPr>
    </w:p>
    <w:sectPr w:rsidR="00B62D13" w:rsidRPr="0072546E" w:rsidSect="007254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13" w:rsidRDefault="00B62D13">
      <w:pPr>
        <w:spacing w:after="0" w:line="240" w:lineRule="auto"/>
      </w:pPr>
      <w:r>
        <w:separator/>
      </w:r>
    </w:p>
  </w:endnote>
  <w:endnote w:type="continuationSeparator" w:id="1">
    <w:p w:rsidR="00B62D13" w:rsidRDefault="00B62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委?"/>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13" w:rsidRDefault="00B62D13">
      <w:pPr>
        <w:spacing w:after="0" w:line="240" w:lineRule="auto"/>
      </w:pPr>
      <w:r>
        <w:separator/>
      </w:r>
    </w:p>
  </w:footnote>
  <w:footnote w:type="continuationSeparator" w:id="1">
    <w:p w:rsidR="00B62D13" w:rsidRDefault="00B62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13" w:rsidRDefault="00B62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55B88"/>
    <w:multiLevelType w:val="hybridMultilevel"/>
    <w:tmpl w:val="B26A0948"/>
    <w:lvl w:ilvl="0" w:tplc="5844A790">
      <w:start w:val="4"/>
      <w:numFmt w:val="bullet"/>
      <w:lvlText w:val="-"/>
      <w:lvlJc w:val="left"/>
      <w:pPr>
        <w:tabs>
          <w:tab w:val="num" w:pos="1770"/>
        </w:tabs>
        <w:ind w:left="1770" w:hanging="360"/>
      </w:pPr>
      <w:rPr>
        <w:rFonts w:ascii="Times New Roman" w:eastAsia="Batang" w:hAnsi="Times New Roman" w:hint="default"/>
      </w:rPr>
    </w:lvl>
    <w:lvl w:ilvl="1" w:tplc="04070003">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7A"/>
    <w:rsid w:val="00013DC5"/>
    <w:rsid w:val="00083BCA"/>
    <w:rsid w:val="000865D9"/>
    <w:rsid w:val="00110271"/>
    <w:rsid w:val="001A30D8"/>
    <w:rsid w:val="0028605D"/>
    <w:rsid w:val="004B3F67"/>
    <w:rsid w:val="004C07E2"/>
    <w:rsid w:val="00524478"/>
    <w:rsid w:val="00575896"/>
    <w:rsid w:val="005E7BC2"/>
    <w:rsid w:val="00603610"/>
    <w:rsid w:val="00720D7A"/>
    <w:rsid w:val="007211D9"/>
    <w:rsid w:val="0072546E"/>
    <w:rsid w:val="00751524"/>
    <w:rsid w:val="00867849"/>
    <w:rsid w:val="008858A1"/>
    <w:rsid w:val="008E3DCF"/>
    <w:rsid w:val="009B46E9"/>
    <w:rsid w:val="009C1E72"/>
    <w:rsid w:val="009C2FE2"/>
    <w:rsid w:val="009D0765"/>
    <w:rsid w:val="00AD7D7A"/>
    <w:rsid w:val="00B05BEA"/>
    <w:rsid w:val="00B62D13"/>
    <w:rsid w:val="00B832F5"/>
    <w:rsid w:val="00D06959"/>
    <w:rsid w:val="00D34313"/>
    <w:rsid w:val="00EE1A45"/>
    <w:rsid w:val="00F2458D"/>
    <w:rsid w:val="00F404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D9"/>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B3F67"/>
    <w:rPr>
      <w:rFonts w:cs="Times New Roman"/>
    </w:rPr>
  </w:style>
  <w:style w:type="paragraph" w:styleId="Footer">
    <w:name w:val="footer"/>
    <w:basedOn w:val="Normal"/>
    <w:link w:val="FooterChar"/>
    <w:uiPriority w:val="99"/>
    <w:semiHidden/>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B3F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2</Pages>
  <Words>561</Words>
  <Characters>3200</Characters>
  <Application>Microsoft Office Outlook</Application>
  <DocSecurity>0</DocSecurity>
  <Lines>0</Lines>
  <Paragraphs>0</Paragraphs>
  <ScaleCrop>false</ScaleCrop>
  <Company>ExxonMobil or an Affiliate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Peter F</dc:creator>
  <cp:keywords/>
  <dc:description/>
  <cp:lastModifiedBy>wanggang</cp:lastModifiedBy>
  <cp:revision>6</cp:revision>
  <dcterms:created xsi:type="dcterms:W3CDTF">2012-04-03T14:43:00Z</dcterms:created>
  <dcterms:modified xsi:type="dcterms:W3CDTF">2012-09-13T20:16:00Z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I Classification">
    <vt:lpwstr>Not Classified</vt:lpwstr>
  </property>
</Properties>
</file>